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i w:val="1"/>
        </w:rPr>
      </w:pPr>
      <w:r w:rsidDel="00000000" w:rsidR="00000000" w:rsidRPr="00000000">
        <w:rPr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2826845</wp:posOffset>
            </wp:positionH>
            <wp:positionV relativeFrom="page">
              <wp:posOffset>335421</wp:posOffset>
            </wp:positionV>
            <wp:extent cx="2267863" cy="390015"/>
            <wp:effectExtent b="0" l="0" r="0" t="0"/>
            <wp:wrapNone/>
            <wp:docPr descr="Faith &amp; Learning" id="1" name="image1.jpg"/>
            <a:graphic>
              <a:graphicData uri="http://schemas.openxmlformats.org/drawingml/2006/picture">
                <pic:pic>
                  <pic:nvPicPr>
                    <pic:cNvPr descr="Faith &amp; Learning" id="0" name="image1.jpg"/>
                    <pic:cNvPicPr preferRelativeResize="0"/>
                  </pic:nvPicPr>
                  <pic:blipFill>
                    <a:blip r:embed="rId6"/>
                    <a:srcRect b="8726" l="0" r="0" t="8726"/>
                    <a:stretch>
                      <a:fillRect/>
                    </a:stretch>
                  </pic:blipFill>
                  <pic:spPr>
                    <a:xfrm>
                      <a:off x="0" y="0"/>
                      <a:ext cx="2267863" cy="390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rtl w:val="0"/>
        </w:rPr>
        <w:t xml:space="preserve">Fundamentals of Fundraising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Module #3 Action Step: </w:t>
      </w:r>
      <w:r w:rsidDel="00000000" w:rsidR="00000000" w:rsidRPr="00000000">
        <w:rPr>
          <w:i w:val="1"/>
          <w:u w:val="single"/>
          <w:rtl w:val="0"/>
        </w:rPr>
        <w:t xml:space="preserve">Volunteer Leadership</w:t>
      </w:r>
      <w:r w:rsidDel="00000000" w:rsidR="00000000" w:rsidRPr="00000000">
        <w:rPr>
          <w:i w:val="1"/>
          <w:rtl w:val="0"/>
        </w:rPr>
        <w:t xml:space="preserve"> Identification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Overview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For this Action Step, you are tasked with thinking through your organization or ministry’s infrastructure, landscape, and donor base, as well as your personal and relational networks, to build a list of volunteer fundraising partner candidates.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For each of the sections below, identify the names of individuals you believe possess: 1) an affinity or alignment with the mission and vision of your organization, and 2) the potential to give, and invite others to give, whether directly or indirectly.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Your Leadership Body (Advisory Council, Board, etc.)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Personal Relationship Network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Existing Donor Base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When you are finished compiling these candidate lists, you are ready to submit and move on to Module #4!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